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7130" w14:textId="2ACC61CC" w:rsidR="003B1FC9" w:rsidRPr="003B1FC9" w:rsidRDefault="003B1FC9" w:rsidP="00AD45F1">
      <w:pPr>
        <w:shd w:val="clear" w:color="auto" w:fill="FFFFFF"/>
        <w:spacing w:after="0" w:line="240" w:lineRule="auto"/>
        <w:jc w:val="center"/>
        <w:rPr>
          <w:rFonts w:ascii="Verdana" w:eastAsia="Times New Roman" w:hAnsi="Verdana" w:cs="Segoe UI"/>
          <w:b/>
          <w:bCs/>
          <w:color w:val="002060"/>
          <w:sz w:val="24"/>
          <w:szCs w:val="24"/>
          <w:lang w:eastAsia="es-ES"/>
        </w:rPr>
      </w:pPr>
      <w:r w:rsidRPr="003B1FC9">
        <w:rPr>
          <w:rFonts w:ascii="Verdana" w:eastAsia="Times New Roman" w:hAnsi="Verdana" w:cs="Segoe UI"/>
          <w:b/>
          <w:bCs/>
          <w:color w:val="002060"/>
          <w:sz w:val="24"/>
          <w:szCs w:val="24"/>
          <w:lang w:eastAsia="es-ES"/>
        </w:rPr>
        <w:t>De 1</w:t>
      </w:r>
      <w:r w:rsidR="00F047C8">
        <w:rPr>
          <w:rFonts w:ascii="Verdana" w:eastAsia="Times New Roman" w:hAnsi="Verdana" w:cs="Segoe UI"/>
          <w:b/>
          <w:bCs/>
          <w:color w:val="002060"/>
          <w:sz w:val="24"/>
          <w:szCs w:val="24"/>
          <w:lang w:eastAsia="es-ES"/>
        </w:rPr>
        <w:t>0</w:t>
      </w:r>
      <w:r w:rsidRPr="003B1FC9">
        <w:rPr>
          <w:rFonts w:ascii="Verdana" w:eastAsia="Times New Roman" w:hAnsi="Verdana" w:cs="Segoe UI"/>
          <w:b/>
          <w:bCs/>
          <w:color w:val="002060"/>
          <w:sz w:val="24"/>
          <w:szCs w:val="24"/>
          <w:lang w:eastAsia="es-ES"/>
        </w:rPr>
        <w:t xml:space="preserve"> a </w:t>
      </w:r>
      <w:r w:rsidR="00F047C8">
        <w:rPr>
          <w:rFonts w:ascii="Verdana" w:eastAsia="Times New Roman" w:hAnsi="Verdana" w:cs="Segoe UI"/>
          <w:b/>
          <w:bCs/>
          <w:color w:val="002060"/>
          <w:sz w:val="24"/>
          <w:szCs w:val="24"/>
          <w:lang w:eastAsia="es-ES"/>
        </w:rPr>
        <w:t>15</w:t>
      </w:r>
      <w:r w:rsidRPr="003B1FC9">
        <w:rPr>
          <w:rFonts w:ascii="Verdana" w:eastAsia="Times New Roman" w:hAnsi="Verdana" w:cs="Segoe UI"/>
          <w:b/>
          <w:bCs/>
          <w:color w:val="002060"/>
          <w:sz w:val="24"/>
          <w:szCs w:val="24"/>
          <w:lang w:eastAsia="es-ES"/>
        </w:rPr>
        <w:t xml:space="preserve"> páginas</w:t>
      </w:r>
    </w:p>
    <w:p w14:paraId="6A8F7328" w14:textId="0FF26E63" w:rsidR="00AD45F1" w:rsidRPr="00AD45F1" w:rsidRDefault="00AD45F1" w:rsidP="00AD45F1">
      <w:pPr>
        <w:shd w:val="clear" w:color="auto" w:fill="FFFFFF"/>
        <w:spacing w:after="0" w:line="240" w:lineRule="auto"/>
        <w:jc w:val="center"/>
        <w:rPr>
          <w:rFonts w:ascii="Verdana" w:eastAsia="Times New Roman" w:hAnsi="Verdana" w:cs="Segoe UI"/>
          <w:b/>
          <w:bCs/>
          <w:color w:val="002060"/>
          <w:sz w:val="24"/>
          <w:szCs w:val="24"/>
          <w:lang w:eastAsia="es-ES"/>
        </w:rPr>
      </w:pPr>
      <w:r>
        <w:rPr>
          <w:rFonts w:ascii="Verdana" w:eastAsia="Times New Roman" w:hAnsi="Verdana" w:cs="Segoe UI"/>
          <w:b/>
          <w:bCs/>
          <w:color w:val="002060"/>
          <w:sz w:val="24"/>
          <w:szCs w:val="24"/>
          <w:lang w:eastAsia="es-ES"/>
        </w:rPr>
        <w:t>--------</w:t>
      </w:r>
    </w:p>
    <w:p w14:paraId="42FC7144"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IMPORTANCIA DEL MODELO DE GESTIÓN CONTABLE PARA EL CONTROL DE LAS ENTIDADES ECONÓMICAS.</w:t>
      </w:r>
    </w:p>
    <w:p w14:paraId="69922673"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IMPORTANCE OF THE ACCOUNTING MANAGEMENT MODEL FOR THE CONTROL OF ECONOMIC ENTITIES.</w:t>
      </w:r>
    </w:p>
    <w:p w14:paraId="26DA076F"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lang w:val="es-MX"/>
        </w:rPr>
        <w:t>Gerardo Antonio Márquez Rondón</w:t>
      </w:r>
      <w:r w:rsidRPr="005C42BE">
        <w:rPr>
          <w:rFonts w:ascii="Verdana" w:hAnsi="Verdana"/>
          <w:sz w:val="20"/>
          <w:szCs w:val="20"/>
          <w:vertAlign w:val="superscript"/>
          <w:lang w:val="es-MX"/>
        </w:rPr>
        <w:t>1</w:t>
      </w:r>
    </w:p>
    <w:p w14:paraId="155BF841"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E-mail:</w:t>
      </w:r>
      <w:r w:rsidRPr="005C42BE">
        <w:rPr>
          <w:rFonts w:ascii="Verdana" w:hAnsi="Verdana"/>
          <w:sz w:val="20"/>
          <w:szCs w:val="20"/>
          <w:lang w:val="es-MX"/>
        </w:rPr>
        <w:t xml:space="preserve"> </w:t>
      </w:r>
      <w:hyperlink r:id="rId7" w:history="1">
        <w:r w:rsidRPr="005C42BE">
          <w:rPr>
            <w:rStyle w:val="Hipervnculo"/>
            <w:rFonts w:ascii="Verdana" w:hAnsi="Verdana"/>
            <w:sz w:val="20"/>
            <w:szCs w:val="20"/>
            <w:u w:val="none"/>
            <w:lang w:val="es-MX"/>
          </w:rPr>
          <w:t>gmarquez@uct.cl</w:t>
        </w:r>
      </w:hyperlink>
    </w:p>
    <w:p w14:paraId="526846D7" w14:textId="7A4AF879"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ORCID:</w:t>
      </w:r>
      <w:r w:rsidRPr="005C42BE">
        <w:rPr>
          <w:rFonts w:ascii="Verdana" w:hAnsi="Verdana"/>
          <w:sz w:val="20"/>
          <w:szCs w:val="20"/>
          <w:lang w:val="es-MX"/>
        </w:rPr>
        <w:t xml:space="preserve"> </w:t>
      </w:r>
      <w:hyperlink r:id="rId8" w:history="1">
        <w:r w:rsidRPr="005C42BE">
          <w:rPr>
            <w:rStyle w:val="Hipervnculo"/>
            <w:rFonts w:ascii="Verdana" w:hAnsi="Verdana"/>
            <w:sz w:val="20"/>
            <w:szCs w:val="20"/>
            <w:u w:val="none"/>
            <w:lang w:val="es-MX"/>
          </w:rPr>
          <w:t>https://orcid.org/0000-0002-6584-6408</w:t>
        </w:r>
      </w:hyperlink>
    </w:p>
    <w:p w14:paraId="292B27F4" w14:textId="60BC1A47" w:rsidR="00096D58" w:rsidRPr="005C42BE" w:rsidRDefault="005C42BE" w:rsidP="00096D58">
      <w:pPr>
        <w:pStyle w:val="Sinespaciado"/>
        <w:jc w:val="both"/>
        <w:rPr>
          <w:rFonts w:ascii="Verdana" w:hAnsi="Verdana"/>
          <w:sz w:val="20"/>
          <w:szCs w:val="20"/>
          <w:vertAlign w:val="superscript"/>
          <w:lang w:val="es-MX"/>
        </w:rPr>
      </w:pPr>
      <w:r w:rsidRPr="005C42BE">
        <w:rPr>
          <w:rFonts w:ascii="Verdana" w:hAnsi="Verdana"/>
          <w:sz w:val="20"/>
          <w:szCs w:val="20"/>
          <w:lang w:val="es-MX"/>
        </w:rPr>
        <w:t>Juan Carlos Ramos Heredia</w:t>
      </w:r>
      <w:r w:rsidRPr="005C42BE">
        <w:rPr>
          <w:rFonts w:ascii="Verdana" w:hAnsi="Verdana"/>
          <w:sz w:val="20"/>
          <w:szCs w:val="20"/>
          <w:vertAlign w:val="superscript"/>
          <w:lang w:val="es-MX"/>
        </w:rPr>
        <w:t>2</w:t>
      </w:r>
    </w:p>
    <w:p w14:paraId="2B48FBD9" w14:textId="0654F58E" w:rsidR="005C42BE" w:rsidRPr="005C42BE" w:rsidRDefault="005C42BE" w:rsidP="00096D58">
      <w:pPr>
        <w:pStyle w:val="Sinespaciado"/>
        <w:jc w:val="both"/>
        <w:rPr>
          <w:rFonts w:ascii="Verdana" w:hAnsi="Verdana"/>
          <w:sz w:val="20"/>
          <w:szCs w:val="20"/>
          <w:lang w:val="es-MX"/>
        </w:rPr>
      </w:pPr>
      <w:r w:rsidRPr="005C42BE">
        <w:rPr>
          <w:rFonts w:ascii="Verdana" w:hAnsi="Verdana"/>
          <w:b/>
          <w:bCs/>
          <w:sz w:val="20"/>
          <w:szCs w:val="20"/>
          <w:lang w:val="es-MX"/>
        </w:rPr>
        <w:t xml:space="preserve">E-mail: </w:t>
      </w:r>
      <w:hyperlink r:id="rId9" w:history="1">
        <w:r w:rsidRPr="005C42BE">
          <w:rPr>
            <w:rStyle w:val="Hipervnculo"/>
            <w:rFonts w:ascii="Verdana" w:hAnsi="Verdana"/>
            <w:sz w:val="20"/>
            <w:szCs w:val="20"/>
            <w:u w:val="none"/>
            <w:lang w:val="es-MX"/>
          </w:rPr>
          <w:t>juancarlos@uniandes.edu.ec</w:t>
        </w:r>
      </w:hyperlink>
    </w:p>
    <w:p w14:paraId="1E388F47" w14:textId="7DDCF9BE" w:rsidR="005C42BE" w:rsidRPr="005C42BE" w:rsidRDefault="005C42BE" w:rsidP="00096D58">
      <w:pPr>
        <w:pStyle w:val="Sinespaciado"/>
        <w:jc w:val="both"/>
        <w:rPr>
          <w:rFonts w:ascii="Verdana" w:hAnsi="Verdana"/>
          <w:b/>
          <w:bCs/>
          <w:sz w:val="20"/>
          <w:szCs w:val="20"/>
          <w:lang w:val="es-MX"/>
        </w:rPr>
      </w:pPr>
      <w:r w:rsidRPr="005C42BE">
        <w:rPr>
          <w:rFonts w:ascii="Verdana" w:hAnsi="Verdana"/>
          <w:b/>
          <w:bCs/>
          <w:sz w:val="20"/>
          <w:szCs w:val="20"/>
          <w:lang w:val="es-MX"/>
        </w:rPr>
        <w:t xml:space="preserve">ORCID: </w:t>
      </w:r>
      <w:hyperlink r:id="rId10" w:history="1">
        <w:r w:rsidRPr="005C42BE">
          <w:rPr>
            <w:rStyle w:val="Hipervnculo"/>
            <w:rFonts w:ascii="Verdana" w:hAnsi="Verdana"/>
            <w:sz w:val="20"/>
            <w:szCs w:val="20"/>
            <w:u w:val="none"/>
            <w:lang w:val="es-MX"/>
          </w:rPr>
          <w:t>https://orcid.org/0000-0002-6584-7808</w:t>
        </w:r>
      </w:hyperlink>
    </w:p>
    <w:p w14:paraId="7DF9DE9B" w14:textId="21D52B69"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vertAlign w:val="superscript"/>
          <w:lang w:val="es-MX"/>
        </w:rPr>
        <w:t xml:space="preserve">1 </w:t>
      </w:r>
      <w:r w:rsidRPr="005C42BE">
        <w:rPr>
          <w:rFonts w:ascii="Verdana" w:hAnsi="Verdana"/>
          <w:sz w:val="20"/>
          <w:szCs w:val="20"/>
          <w:lang w:val="es-MX"/>
        </w:rPr>
        <w:t>Universidad Católica de Temuco, Chile.</w:t>
      </w:r>
    </w:p>
    <w:p w14:paraId="09EF2CF8" w14:textId="4A59591A" w:rsidR="005C42BE" w:rsidRPr="005C42BE" w:rsidRDefault="005C42BE" w:rsidP="00096D58">
      <w:pPr>
        <w:pStyle w:val="Sinespaciado"/>
        <w:jc w:val="both"/>
        <w:rPr>
          <w:rFonts w:ascii="Verdana" w:hAnsi="Verdana"/>
          <w:sz w:val="20"/>
          <w:szCs w:val="20"/>
          <w:lang w:val="es-MX"/>
        </w:rPr>
      </w:pPr>
      <w:r w:rsidRPr="00341057">
        <w:rPr>
          <w:rFonts w:ascii="Verdana" w:hAnsi="Verdana"/>
          <w:sz w:val="20"/>
          <w:szCs w:val="20"/>
          <w:vertAlign w:val="superscript"/>
          <w:lang w:val="es-MX"/>
        </w:rPr>
        <w:t>2</w:t>
      </w:r>
      <w:r w:rsidRPr="005C42BE">
        <w:rPr>
          <w:rFonts w:ascii="Verdana" w:hAnsi="Verdana"/>
          <w:sz w:val="20"/>
          <w:szCs w:val="20"/>
          <w:lang w:val="es-MX"/>
        </w:rPr>
        <w:t xml:space="preserve"> Universidad Regional Autónoma de Los Andes, Ecuador.</w:t>
      </w:r>
    </w:p>
    <w:p w14:paraId="75DDD711"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RESUMEN</w:t>
      </w:r>
    </w:p>
    <w:p w14:paraId="5A90A3A1" w14:textId="3D1A3089"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El modelo de gestión contable es un elemento indispensable en los sistemas de planificación y control de las entidades económicas. La integración de los procedimientos y las diversas dimensiones de esta acción abre un nuevo campo para las técnicas de adopción de decisiones al eliminar la compartimentación de la organización. Los sistemas de planificación de los recursos institucionales también pueden ser un instrumento formidable para los controladores de la gestión. Su aplicación presupone una modelización global de los flujos y procesos de la empresa, posiblemente mediante una reingeniería de todos los usos y técnicas existentes. Se trata entonces de una notable oportunidad para actualizar los modelos de contabilidad de control y gestión cambiando los esquemas de cálculo de costos dentro de la empresa. </w:t>
      </w:r>
    </w:p>
    <w:p w14:paraId="799BC65E" w14:textId="71419963" w:rsidR="00096D58" w:rsidRPr="005047D2" w:rsidRDefault="00096D58" w:rsidP="00096D58">
      <w:pPr>
        <w:spacing w:before="240" w:line="240" w:lineRule="auto"/>
        <w:jc w:val="both"/>
        <w:rPr>
          <w:rFonts w:ascii="Verdana" w:hAnsi="Verdana"/>
          <w:sz w:val="20"/>
          <w:szCs w:val="20"/>
          <w:lang w:val="es-MX"/>
        </w:rPr>
      </w:pPr>
      <w:r>
        <w:rPr>
          <w:rFonts w:ascii="Verdana" w:hAnsi="Verdana"/>
          <w:b/>
          <w:sz w:val="20"/>
          <w:szCs w:val="20"/>
          <w:lang w:val="es-MX"/>
        </w:rPr>
        <w:t>P</w:t>
      </w:r>
      <w:r w:rsidRPr="005047D2">
        <w:rPr>
          <w:rFonts w:ascii="Verdana" w:hAnsi="Verdana"/>
          <w:b/>
          <w:sz w:val="20"/>
          <w:szCs w:val="20"/>
          <w:lang w:val="es-MX"/>
        </w:rPr>
        <w:t xml:space="preserve">alabras claves: </w:t>
      </w:r>
      <w:r w:rsidRPr="005047D2">
        <w:rPr>
          <w:rFonts w:ascii="Verdana" w:hAnsi="Verdana"/>
          <w:sz w:val="20"/>
          <w:szCs w:val="20"/>
          <w:lang w:val="es-MX"/>
        </w:rPr>
        <w:t>Modelo de gestión contable, entidades económicas, control empresarial.</w:t>
      </w:r>
    </w:p>
    <w:p w14:paraId="6816083F"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ABSTRACT</w:t>
      </w:r>
    </w:p>
    <w:p w14:paraId="30473BB8" w14:textId="30C4C21A"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sz w:val="20"/>
          <w:szCs w:val="20"/>
          <w:lang w:val="en-US"/>
        </w:rPr>
        <w:t xml:space="preserve">The accounting management model is an indispensable element in the planning and control systems of economic entities. The integration of procedures and the various dimensions of this action opens a new field for decision-making techniques by eliminating the compartmentalization of the organization. ERP systems can also be a formidable tool for management controllers. Their implementation presupposes a global modelling of the company's flows and processes, possibly through a re-engineering of all existing uses and techniques. It is then a remarkable opportunity to update the control and management accounting models by changing the cost calculation schemes within the company. </w:t>
      </w:r>
    </w:p>
    <w:p w14:paraId="79F655CA" w14:textId="45AFB553"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b/>
          <w:sz w:val="20"/>
          <w:szCs w:val="20"/>
          <w:lang w:val="en-US"/>
        </w:rPr>
        <w:t>Keywords:</w:t>
      </w:r>
      <w:r w:rsidRPr="00096D58">
        <w:rPr>
          <w:rFonts w:ascii="Verdana" w:hAnsi="Verdana"/>
          <w:sz w:val="20"/>
          <w:szCs w:val="20"/>
          <w:lang w:val="en-US"/>
        </w:rPr>
        <w:t xml:space="preserve"> Accounting management model, economic entities, business control.</w:t>
      </w:r>
    </w:p>
    <w:p w14:paraId="7CE1E00B"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INTRODUCCIÓN</w:t>
      </w:r>
    </w:p>
    <w:p w14:paraId="005D0EE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estudios recientes sobre el tema muestran que en la consolidación de los procedimientos para el control empresarial se dificulta de manera duradera la posibilidad de reestructurar los métodos de cálculo y supervisión de los costos, si bien los sistemas de planificación de los recursos institucionales constituyen un marco técnico innovador y conceptualmente notable que puede propiciar una evolución significativa del control de la gestión, la realidad sigue siendo mucho más compleja.</w:t>
      </w:r>
    </w:p>
    <w:p w14:paraId="0D111547" w14:textId="77F3F488" w:rsidR="00096D58" w:rsidRDefault="00096D58" w:rsidP="00096D58">
      <w:pPr>
        <w:spacing w:before="240" w:line="240" w:lineRule="auto"/>
        <w:jc w:val="both"/>
        <w:rPr>
          <w:rFonts w:ascii="Verdana" w:hAnsi="Verdana"/>
          <w:sz w:val="20"/>
          <w:szCs w:val="20"/>
          <w:lang w:val="es-MX"/>
        </w:rPr>
      </w:pPr>
      <w:r w:rsidRPr="005E5973">
        <w:rPr>
          <w:rFonts w:ascii="Verdana" w:hAnsi="Verdana"/>
          <w:sz w:val="20"/>
          <w:szCs w:val="20"/>
          <w:lang w:val="es-MX"/>
        </w:rPr>
        <w:lastRenderedPageBreak/>
        <w:t>En ese sentido, es fundamental el control de la empresa ya que para que pueda supervivir, es evidente que, como confirman las estadísticas, una gran mayoría de empresas pequeñas y medianas mueren, bien por falta de control, bien por la existencia de un inadecuado sistema de control. (Eslava, 2013)</w:t>
      </w:r>
      <w:r>
        <w:rPr>
          <w:rFonts w:ascii="Verdana" w:hAnsi="Verdana"/>
          <w:sz w:val="20"/>
          <w:szCs w:val="20"/>
          <w:lang w:val="es-MX"/>
        </w:rPr>
        <w:t>.</w:t>
      </w:r>
    </w:p>
    <w:p w14:paraId="3D0BE971"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2BDBDA66" w14:textId="77777777" w:rsidR="00CF3178" w:rsidRDefault="00CF3178" w:rsidP="00096D58">
      <w:pPr>
        <w:spacing w:before="240" w:line="240" w:lineRule="auto"/>
        <w:jc w:val="both"/>
        <w:rPr>
          <w:rFonts w:ascii="Verdana" w:hAnsi="Verdana"/>
          <w:b/>
          <w:sz w:val="20"/>
          <w:szCs w:val="20"/>
          <w:lang w:val="es-MX"/>
        </w:rPr>
      </w:pPr>
    </w:p>
    <w:p w14:paraId="39A65D12" w14:textId="099B74C8"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METODOLOGÍA</w:t>
      </w:r>
    </w:p>
    <w:p w14:paraId="3E4D5381"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investigación exploratoria, permitió realizar una síntesis sobre el tema y profundizar en los antecedentes de comportamiento en las empresas utilizadas como muestras. Se realizó un estudio en seis empresas en un enfoque intermedio entre lo monográfico cualitativo y los cuestionarios cuantitativos con análisis con el fin de establecer un marco de investigación sobre la evolución del control de la gestión. </w:t>
      </w:r>
    </w:p>
    <w:p w14:paraId="37895F25" w14:textId="3391ACFE"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Nuestro enfoque exploratorio de la </w:t>
      </w:r>
      <w:r w:rsidR="005C42BE" w:rsidRPr="005047D2">
        <w:rPr>
          <w:rFonts w:ascii="Verdana" w:hAnsi="Verdana"/>
          <w:sz w:val="20"/>
          <w:szCs w:val="20"/>
          <w:lang w:val="es-MX"/>
        </w:rPr>
        <w:t>muestra</w:t>
      </w:r>
      <w:r w:rsidRPr="005047D2">
        <w:rPr>
          <w:rFonts w:ascii="Verdana" w:hAnsi="Verdana"/>
          <w:sz w:val="20"/>
          <w:szCs w:val="20"/>
          <w:lang w:val="es-MX"/>
        </w:rPr>
        <w:t xml:space="preserve"> sugiere un seguimiento oportuno y la posibilidad de repetir el estudio en un periodo de tiempo de dos años para medir los avances alcanzados, la investigación de campo vinculada con la observación oportuna y las encuestas aplicadas; contribuyeron eficientemente en el cumplimiento de los objetivos planificados.</w:t>
      </w:r>
    </w:p>
    <w:p w14:paraId="2C13DBC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modalidad cualitativa se basó en entrevistas y múltiples estudios de casos, con verificación y comprobación cruzada in situ. La técnica consistió en visitas, entrevistas con preguntas abiertas y cerradas y la posterior confrontación sistemática con los entrevistados.</w:t>
      </w:r>
    </w:p>
    <w:p w14:paraId="10E2D96E" w14:textId="00A8306C"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Las empresas y microempresas estudiadas son de tamaño variable, con diferentes líneas de negocios y múltiples estructuras jurídicas. Poseen diferentes sistemas de planificación de recursos empresariales lo que complejizó el trabajo investigativo.</w:t>
      </w:r>
    </w:p>
    <w:p w14:paraId="3E569A4A"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0520BC98" w14:textId="77777777" w:rsidR="00CF3178" w:rsidRDefault="00CF3178" w:rsidP="00096D58">
      <w:pPr>
        <w:spacing w:before="240" w:line="240" w:lineRule="auto"/>
        <w:jc w:val="both"/>
        <w:rPr>
          <w:rFonts w:ascii="Verdana" w:hAnsi="Verdana"/>
          <w:b/>
          <w:sz w:val="20"/>
          <w:szCs w:val="20"/>
          <w:lang w:val="es-MX"/>
        </w:rPr>
      </w:pPr>
    </w:p>
    <w:p w14:paraId="69BC01AA" w14:textId="2C56484F"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RESULTADOS</w:t>
      </w:r>
    </w:p>
    <w:p w14:paraId="6C98B324" w14:textId="2F67FBE5"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Existen empresas que utilizan un sistema de cálculo de costos estructurado por centros de responsabilidad con la determinación de normas y el cálculo de los clásicos factores de costo por volumen. Esto permite alimentar los informes mensuales de la empresa y controlar el desempeño de la entidad. Se basa en la estructura organizativa y la lógica de tipo presupuestario, más que en el mapeo de y su lógica de tipo tablero. </w:t>
      </w:r>
    </w:p>
    <w:p w14:paraId="2CA2BE82"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b/>
          <w:color w:val="000000"/>
          <w:sz w:val="20"/>
          <w:szCs w:val="20"/>
        </w:rPr>
        <w:t xml:space="preserve">¿Conoce </w:t>
      </w:r>
      <w:r w:rsidRPr="00174BFC">
        <w:rPr>
          <w:rFonts w:ascii="Verdana" w:eastAsia="Verdana" w:hAnsi="Verdana" w:cs="Verdana"/>
          <w:b/>
          <w:sz w:val="20"/>
          <w:szCs w:val="20"/>
        </w:rPr>
        <w:t>qué</w:t>
      </w:r>
      <w:r w:rsidRPr="00174BFC">
        <w:rPr>
          <w:rFonts w:ascii="Verdana" w:eastAsia="Verdana" w:hAnsi="Verdana" w:cs="Verdana"/>
          <w:b/>
          <w:color w:val="000000"/>
          <w:sz w:val="20"/>
          <w:szCs w:val="20"/>
        </w:rPr>
        <w:t xml:space="preserve"> es el </w:t>
      </w:r>
      <w:r>
        <w:rPr>
          <w:rFonts w:ascii="Verdana" w:eastAsia="Verdana" w:hAnsi="Verdana" w:cs="Verdana"/>
          <w:b/>
          <w:color w:val="000000"/>
          <w:sz w:val="20"/>
          <w:szCs w:val="20"/>
        </w:rPr>
        <w:t>t</w:t>
      </w:r>
      <w:r w:rsidRPr="00174BFC">
        <w:rPr>
          <w:rFonts w:ascii="Verdana" w:eastAsia="Verdana" w:hAnsi="Verdana" w:cs="Verdana"/>
          <w:b/>
          <w:color w:val="000000"/>
          <w:sz w:val="20"/>
          <w:szCs w:val="20"/>
        </w:rPr>
        <w:t>ecnoestrés?</w:t>
      </w:r>
    </w:p>
    <w:p w14:paraId="7A733D2A" w14:textId="738E7728" w:rsidR="00397834" w:rsidRPr="00104066"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104066">
        <w:rPr>
          <w:rFonts w:ascii="Verdana" w:eastAsia="Verdana" w:hAnsi="Verdana" w:cs="Verdana"/>
          <w:iCs/>
          <w:sz w:val="20"/>
          <w:szCs w:val="20"/>
        </w:rPr>
        <w:t xml:space="preserve">Tabla </w:t>
      </w:r>
      <w:r>
        <w:rPr>
          <w:rFonts w:ascii="Verdana" w:eastAsia="Verdana" w:hAnsi="Verdana" w:cs="Verdana"/>
          <w:iCs/>
          <w:sz w:val="20"/>
          <w:szCs w:val="20"/>
        </w:rPr>
        <w:t>1</w:t>
      </w:r>
      <w:r w:rsidRPr="00104066">
        <w:rPr>
          <w:rFonts w:ascii="Verdana" w:eastAsia="Verdana" w:hAnsi="Verdana" w:cs="Verdana"/>
          <w:iCs/>
          <w:sz w:val="20"/>
          <w:szCs w:val="20"/>
        </w:rPr>
        <w:t xml:space="preserve">. El </w:t>
      </w:r>
      <w:r>
        <w:rPr>
          <w:rFonts w:ascii="Verdana" w:eastAsia="Verdana" w:hAnsi="Verdana" w:cs="Verdana"/>
          <w:iCs/>
          <w:sz w:val="20"/>
          <w:szCs w:val="20"/>
        </w:rPr>
        <w:t>t</w:t>
      </w:r>
      <w:r w:rsidRPr="00104066">
        <w:rPr>
          <w:rFonts w:ascii="Verdana" w:eastAsia="Verdana" w:hAnsi="Verdana" w:cs="Verdana"/>
          <w:iCs/>
          <w:sz w:val="20"/>
          <w:szCs w:val="20"/>
        </w:rPr>
        <w:t>ecnoestrés</w:t>
      </w:r>
      <w:r>
        <w:rPr>
          <w:rFonts w:ascii="Verdana" w:eastAsia="Verdana" w:hAnsi="Verdana" w:cs="Verdana"/>
          <w:iCs/>
          <w:sz w:val="20"/>
          <w:szCs w:val="20"/>
        </w:rPr>
        <w:t>.</w:t>
      </w:r>
    </w:p>
    <w:tbl>
      <w:tblPr>
        <w:tblW w:w="5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1717"/>
        <w:gridCol w:w="1718"/>
      </w:tblGrid>
      <w:tr w:rsidR="00397834" w:rsidRPr="00397834" w14:paraId="1E5C3C3E" w14:textId="77777777" w:rsidTr="00397834">
        <w:trPr>
          <w:trHeight w:val="20"/>
        </w:trPr>
        <w:tc>
          <w:tcPr>
            <w:tcW w:w="1724" w:type="dxa"/>
            <w:vAlign w:val="center"/>
          </w:tcPr>
          <w:p w14:paraId="31FE807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Detalle</w:t>
            </w:r>
          </w:p>
        </w:tc>
        <w:tc>
          <w:tcPr>
            <w:tcW w:w="1717" w:type="dxa"/>
            <w:vAlign w:val="center"/>
          </w:tcPr>
          <w:p w14:paraId="0B928FED"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Población</w:t>
            </w:r>
          </w:p>
        </w:tc>
        <w:tc>
          <w:tcPr>
            <w:tcW w:w="1718" w:type="dxa"/>
            <w:vAlign w:val="center"/>
          </w:tcPr>
          <w:p w14:paraId="10A829E7"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Porciento</w:t>
            </w:r>
          </w:p>
        </w:tc>
      </w:tr>
      <w:tr w:rsidR="00397834" w:rsidRPr="00397834" w14:paraId="7FA0F8EF" w14:textId="77777777" w:rsidTr="00397834">
        <w:trPr>
          <w:trHeight w:val="20"/>
        </w:trPr>
        <w:tc>
          <w:tcPr>
            <w:tcW w:w="1724" w:type="dxa"/>
            <w:vAlign w:val="center"/>
          </w:tcPr>
          <w:p w14:paraId="537FC84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Si</w:t>
            </w:r>
          </w:p>
        </w:tc>
        <w:tc>
          <w:tcPr>
            <w:tcW w:w="1717" w:type="dxa"/>
            <w:vAlign w:val="center"/>
          </w:tcPr>
          <w:p w14:paraId="683316A5"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27</w:t>
            </w:r>
          </w:p>
        </w:tc>
        <w:tc>
          <w:tcPr>
            <w:tcW w:w="1718" w:type="dxa"/>
            <w:vAlign w:val="center"/>
          </w:tcPr>
          <w:p w14:paraId="0AF8A364"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51%</w:t>
            </w:r>
          </w:p>
        </w:tc>
      </w:tr>
      <w:tr w:rsidR="00397834" w:rsidRPr="00397834" w14:paraId="6459362C" w14:textId="77777777" w:rsidTr="00397834">
        <w:trPr>
          <w:trHeight w:val="20"/>
        </w:trPr>
        <w:tc>
          <w:tcPr>
            <w:tcW w:w="1724" w:type="dxa"/>
            <w:vAlign w:val="center"/>
          </w:tcPr>
          <w:p w14:paraId="5D7ADF3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No</w:t>
            </w:r>
          </w:p>
        </w:tc>
        <w:tc>
          <w:tcPr>
            <w:tcW w:w="1717" w:type="dxa"/>
            <w:vAlign w:val="center"/>
          </w:tcPr>
          <w:p w14:paraId="4DD1F428"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26</w:t>
            </w:r>
          </w:p>
        </w:tc>
        <w:tc>
          <w:tcPr>
            <w:tcW w:w="1718" w:type="dxa"/>
            <w:vAlign w:val="center"/>
          </w:tcPr>
          <w:p w14:paraId="0A907E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49%</w:t>
            </w:r>
          </w:p>
        </w:tc>
      </w:tr>
      <w:tr w:rsidR="00397834" w:rsidRPr="00397834" w14:paraId="2C68F70E" w14:textId="77777777" w:rsidTr="00397834">
        <w:trPr>
          <w:trHeight w:val="20"/>
        </w:trPr>
        <w:tc>
          <w:tcPr>
            <w:tcW w:w="1724" w:type="dxa"/>
            <w:vAlign w:val="center"/>
          </w:tcPr>
          <w:p w14:paraId="4D80291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Total</w:t>
            </w:r>
          </w:p>
        </w:tc>
        <w:tc>
          <w:tcPr>
            <w:tcW w:w="1717" w:type="dxa"/>
            <w:vAlign w:val="center"/>
          </w:tcPr>
          <w:p w14:paraId="48B497BE"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53</w:t>
            </w:r>
          </w:p>
        </w:tc>
        <w:tc>
          <w:tcPr>
            <w:tcW w:w="1718" w:type="dxa"/>
            <w:vAlign w:val="center"/>
          </w:tcPr>
          <w:p w14:paraId="532E25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100 %</w:t>
            </w:r>
          </w:p>
        </w:tc>
      </w:tr>
    </w:tbl>
    <w:p w14:paraId="51DAA24F"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noProof/>
          <w:color w:val="000000"/>
          <w:sz w:val="20"/>
          <w:szCs w:val="20"/>
        </w:rPr>
        <w:lastRenderedPageBreak/>
        <w:drawing>
          <wp:inline distT="0" distB="0" distL="0" distR="0" wp14:anchorId="2D1FF7E8" wp14:editId="3E7639CD">
            <wp:extent cx="3284220" cy="2026920"/>
            <wp:effectExtent l="0" t="0" r="1143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478B11" w14:textId="20368035" w:rsidR="00397834" w:rsidRPr="00DD269B"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DD269B">
        <w:rPr>
          <w:rFonts w:ascii="Verdana" w:eastAsia="Verdana" w:hAnsi="Verdana" w:cs="Verdana"/>
          <w:iCs/>
          <w:sz w:val="20"/>
          <w:szCs w:val="20"/>
        </w:rPr>
        <w:t>Figura 1. El Tecnoestrés</w:t>
      </w:r>
      <w:r>
        <w:rPr>
          <w:rFonts w:ascii="Verdana" w:eastAsia="Verdana" w:hAnsi="Verdana" w:cs="Verdana"/>
          <w:iCs/>
          <w:sz w:val="20"/>
          <w:szCs w:val="20"/>
        </w:rPr>
        <w:t>.</w:t>
      </w:r>
    </w:p>
    <w:p w14:paraId="391D6ADC" w14:textId="66A4D9F0"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Si se elige esta opción, la modelización basada en actividades debe realizarse a posteriori, sí pues, por un lado, están los cálculos de costos desglosados en la organización de manera que sea posible su puesta en marcha y permita la supervisión de la gestión y el rendimiento diarios valorando la eficiencia y eficacia inmediatas. Por otro lado, hay un modelo más puntual basado en un enfoque para informar las elecciones estratégicas. Ello requiere la utilización de bases de datos que contengan información sobre las transacciones con atributos múltiples, de modo que sea posible un desglose satisfactorio del consumo de recursos y, posteriormente, de la utilización de las actividades para crear valor para el cliente final.</w:t>
      </w:r>
    </w:p>
    <w:p w14:paraId="706A0A12"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30DA2A02" w14:textId="77777777" w:rsidR="00CF3178" w:rsidRDefault="00CF3178" w:rsidP="00096D58">
      <w:pPr>
        <w:spacing w:before="240" w:line="240" w:lineRule="auto"/>
        <w:jc w:val="both"/>
        <w:rPr>
          <w:rFonts w:ascii="Verdana" w:hAnsi="Verdana"/>
          <w:b/>
          <w:sz w:val="20"/>
          <w:szCs w:val="20"/>
          <w:lang w:val="es-MX"/>
        </w:rPr>
      </w:pPr>
    </w:p>
    <w:p w14:paraId="4FCE047C" w14:textId="53EFC80B"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DISCUSIÓN</w:t>
      </w:r>
    </w:p>
    <w:p w14:paraId="2D8EF3E5" w14:textId="17CD4FB5"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Las</w:t>
      </w:r>
      <w:r w:rsidRPr="005047D2">
        <w:rPr>
          <w:rFonts w:ascii="Verdana" w:hAnsi="Verdana"/>
          <w:sz w:val="20"/>
          <w:szCs w:val="20"/>
          <w:lang w:val="es-MX"/>
        </w:rPr>
        <w:t xml:space="preserve"> evoluciones funcionales observadas en un entorno de planificación de los recursos institucionales son limitadas. Al control de gestión se le dedica el 60% de tiempo a la elaboración de informes y el 40% al asesoramiento y la planificación variaciones en el ámbito de la función, es esencialmente para la dimensión "tratamiento de la información". Un elemento parece tener cierta repercusión en los procedimientos de control de la gestión.</w:t>
      </w:r>
      <w:r w:rsidR="005C42BE">
        <w:rPr>
          <w:rFonts w:ascii="Verdana" w:hAnsi="Verdana"/>
          <w:sz w:val="20"/>
          <w:szCs w:val="20"/>
          <w:lang w:val="es-MX"/>
        </w:rPr>
        <w:t xml:space="preserve"> (</w:t>
      </w:r>
      <w:proofErr w:type="spellStart"/>
      <w:r w:rsidR="005C42BE" w:rsidRPr="00906BA7">
        <w:rPr>
          <w:rFonts w:ascii="Verdana" w:eastAsia="Times New Roman" w:hAnsi="Verdana" w:cs="Times New Roman"/>
          <w:sz w:val="20"/>
          <w:szCs w:val="20"/>
          <w:lang w:eastAsia="es-ES"/>
        </w:rPr>
        <w:t>Alaña</w:t>
      </w:r>
      <w:proofErr w:type="spellEnd"/>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Morán</w:t>
      </w:r>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&amp; Sanmartín</w:t>
      </w:r>
      <w:r w:rsidR="005C42BE">
        <w:rPr>
          <w:rFonts w:ascii="Verdana" w:eastAsia="Times New Roman" w:hAnsi="Verdana" w:cs="Times New Roman"/>
          <w:sz w:val="20"/>
          <w:szCs w:val="20"/>
          <w:lang w:eastAsia="es-ES"/>
        </w:rPr>
        <w:t xml:space="preserve">. </w:t>
      </w:r>
      <w:r w:rsidR="005C42BE" w:rsidRPr="00906BA7">
        <w:rPr>
          <w:rFonts w:ascii="Verdana" w:eastAsia="Times New Roman" w:hAnsi="Verdana" w:cs="Times New Roman"/>
          <w:sz w:val="20"/>
          <w:szCs w:val="20"/>
          <w:lang w:eastAsia="es-ES"/>
        </w:rPr>
        <w:t>2017).</w:t>
      </w:r>
    </w:p>
    <w:p w14:paraId="602F72C7" w14:textId="40F047A1"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Es decir que, el c</w:t>
      </w:r>
      <w:r w:rsidRPr="0094365C">
        <w:rPr>
          <w:rFonts w:ascii="Verdana" w:hAnsi="Verdana"/>
          <w:sz w:val="20"/>
          <w:szCs w:val="20"/>
          <w:lang w:val="es-MX"/>
        </w:rPr>
        <w:t>ontrol interno diseñado, implementado y monitoreado de manera ordenada, eficiente y uniforme de acuerdo con las normas y procedimientos establecidos, contribuye al cumplimiento de los objetivos estratégicos y operativos en las organizaciones.  Es necesario que la administración comprenda que el control interno es un proceso que genera valor a la empresa, da certeza en cuanto al aseguramiento de los procesos y la calidad en ellos y contribuye</w:t>
      </w:r>
      <w:r>
        <w:rPr>
          <w:rFonts w:ascii="Verdana" w:hAnsi="Verdana"/>
          <w:sz w:val="20"/>
          <w:szCs w:val="20"/>
          <w:lang w:val="es-MX"/>
        </w:rPr>
        <w:t xml:space="preserve"> </w:t>
      </w:r>
      <w:r w:rsidRPr="0094365C">
        <w:rPr>
          <w:rFonts w:ascii="Verdana" w:hAnsi="Verdana"/>
          <w:sz w:val="20"/>
          <w:szCs w:val="20"/>
          <w:lang w:val="es-MX"/>
        </w:rPr>
        <w:t xml:space="preserve">al </w:t>
      </w:r>
      <w:r>
        <w:rPr>
          <w:rFonts w:ascii="Verdana" w:hAnsi="Verdana"/>
          <w:sz w:val="20"/>
          <w:szCs w:val="20"/>
          <w:lang w:val="es-MX"/>
        </w:rPr>
        <w:t>c</w:t>
      </w:r>
      <w:r w:rsidRPr="0094365C">
        <w:rPr>
          <w:rFonts w:ascii="Verdana" w:hAnsi="Verdana"/>
          <w:sz w:val="20"/>
          <w:szCs w:val="20"/>
          <w:lang w:val="es-MX"/>
        </w:rPr>
        <w:t xml:space="preserve">umplimiento de los objetivos de crecimiento, sostenibilidad </w:t>
      </w:r>
      <w:r w:rsidRPr="003515BC">
        <w:rPr>
          <w:rFonts w:ascii="Verdana" w:hAnsi="Verdana"/>
          <w:sz w:val="20"/>
          <w:szCs w:val="20"/>
          <w:lang w:val="es-MX"/>
        </w:rPr>
        <w:t>y generación de valor. (</w:t>
      </w:r>
      <w:r w:rsidR="005C42BE">
        <w:rPr>
          <w:rFonts w:ascii="Verdana" w:hAnsi="Verdana"/>
          <w:sz w:val="20"/>
          <w:szCs w:val="20"/>
          <w:lang w:val="es-MX"/>
        </w:rPr>
        <w:t>García</w:t>
      </w:r>
      <w:r>
        <w:rPr>
          <w:rFonts w:ascii="Verdana" w:hAnsi="Verdana"/>
          <w:sz w:val="20"/>
          <w:szCs w:val="20"/>
          <w:lang w:val="es-MX"/>
        </w:rPr>
        <w:t>, 1993)</w:t>
      </w:r>
    </w:p>
    <w:p w14:paraId="5CF8D463" w14:textId="1D935C61" w:rsidR="00341057" w:rsidRPr="005047D2" w:rsidRDefault="00341057" w:rsidP="00096D58">
      <w:pPr>
        <w:spacing w:before="240" w:line="240" w:lineRule="auto"/>
        <w:jc w:val="both"/>
        <w:rPr>
          <w:rFonts w:ascii="Verdana" w:hAnsi="Verdana"/>
          <w:sz w:val="20"/>
          <w:szCs w:val="20"/>
          <w:lang w:val="es-MX"/>
        </w:rPr>
      </w:pPr>
      <w:r>
        <w:rPr>
          <w:rFonts w:ascii="Verdana" w:hAnsi="Verdana"/>
          <w:sz w:val="20"/>
          <w:szCs w:val="20"/>
          <w:lang w:val="es-MX"/>
        </w:rPr>
        <w:t>(……..)</w:t>
      </w:r>
    </w:p>
    <w:p w14:paraId="252AD0BA" w14:textId="77777777" w:rsidR="00CF3178" w:rsidRDefault="00CF3178" w:rsidP="00096D58">
      <w:pPr>
        <w:spacing w:before="240" w:line="240" w:lineRule="auto"/>
        <w:jc w:val="both"/>
        <w:rPr>
          <w:rFonts w:ascii="Verdana" w:hAnsi="Verdana"/>
          <w:b/>
          <w:sz w:val="20"/>
          <w:szCs w:val="20"/>
          <w:lang w:val="es-MX"/>
        </w:rPr>
      </w:pPr>
    </w:p>
    <w:p w14:paraId="233A61B3" w14:textId="3C8A6AAA"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CONCLUSIÓN</w:t>
      </w:r>
    </w:p>
    <w:p w14:paraId="11C2E42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bibliografía sobre el control de la gestión en un entorno de PRE demuestra una débil influencia de la integración de la información en los conceptos e instrumentos y una influencia más significativa en las prácticas y la función de los controladores de la gestión. Esto daría lugar, en particular, a una </w:t>
      </w:r>
      <w:r w:rsidRPr="005047D2">
        <w:rPr>
          <w:rFonts w:ascii="Verdana" w:hAnsi="Verdana"/>
          <w:sz w:val="20"/>
          <w:szCs w:val="20"/>
          <w:lang w:val="es-MX"/>
        </w:rPr>
        <w:lastRenderedPageBreak/>
        <w:t xml:space="preserve">migración de las tareas del controlador de gestión una disociación funcional entre una actividad de consultoría de gestión con los responsables de la toma de decisiones para los controladores sobre el terreno y una actividad más conceptual de desarrollo estratégico de los sistemas de control de gestión </w:t>
      </w:r>
      <w:r>
        <w:rPr>
          <w:rFonts w:ascii="Verdana" w:hAnsi="Verdana"/>
          <w:sz w:val="20"/>
          <w:szCs w:val="20"/>
          <w:lang w:val="es-MX"/>
        </w:rPr>
        <w:t>con respecto a</w:t>
      </w:r>
      <w:r w:rsidRPr="005047D2">
        <w:rPr>
          <w:rFonts w:ascii="Verdana" w:hAnsi="Verdana"/>
          <w:sz w:val="20"/>
          <w:szCs w:val="20"/>
          <w:lang w:val="es-MX"/>
        </w:rPr>
        <w:t xml:space="preserve"> la alta dirección) y una fertilización cruzada (difusión de los conocimientos de los controladores de gestión dentro de la estructura).</w:t>
      </w:r>
    </w:p>
    <w:p w14:paraId="7CB8452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resultados del estudio pusieron en perspectiva el posible impacto en las prácticas de los propios controladores de gestión donde la evolución no siempre se traduce en una emancipación de las limitaciones de la recopilación y el procesamiento de la información y sólo se inclina ligeramente a favor de tareas más estratégicas relacionadas con el consejo de administración.</w:t>
      </w:r>
    </w:p>
    <w:p w14:paraId="4441A27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PRE no es un factor determinante, por sí solo, en la evolución de las prácticas y la función del interventor financiero. Parecen depender de factores de contingencia como el tamaño (gran empresa frente a PYME), la estructura organizativa (grupo frente a entidad única), los objetivos de gestión centrados a menudo en aspectos logísticos o de "proceso industrial", la estabilidad de los procesos "empresariales" y, sobre todo, las disposiciones organizativas para la ejecución y el apoyo del proyecto (centros de competencias).</w:t>
      </w:r>
    </w:p>
    <w:p w14:paraId="25036D9A" w14:textId="77777777" w:rsidR="00096D58" w:rsidRPr="000E3D13" w:rsidRDefault="00096D58" w:rsidP="00096D58">
      <w:pPr>
        <w:spacing w:before="240" w:line="240" w:lineRule="auto"/>
        <w:jc w:val="both"/>
        <w:rPr>
          <w:rFonts w:ascii="Verdana" w:hAnsi="Verdana"/>
          <w:b/>
          <w:bCs/>
          <w:sz w:val="20"/>
          <w:szCs w:val="20"/>
          <w:lang w:val="es-MX"/>
        </w:rPr>
      </w:pPr>
      <w:r w:rsidRPr="000E3D13">
        <w:rPr>
          <w:rFonts w:ascii="Verdana" w:hAnsi="Verdana"/>
          <w:b/>
          <w:bCs/>
          <w:sz w:val="20"/>
          <w:szCs w:val="20"/>
          <w:lang w:val="es-MX"/>
        </w:rPr>
        <w:t>REFERENCIAS BIBLIOGRÁFICAS</w:t>
      </w:r>
    </w:p>
    <w:p w14:paraId="0F907EC5" w14:textId="77777777" w:rsidR="00096D58" w:rsidRPr="00906BA7" w:rsidRDefault="00096D58" w:rsidP="00096D58">
      <w:pPr>
        <w:shd w:val="clear" w:color="auto" w:fill="FFFFFF"/>
        <w:spacing w:before="240" w:line="240" w:lineRule="auto"/>
        <w:ind w:left="567" w:hanging="567"/>
        <w:jc w:val="both"/>
        <w:rPr>
          <w:rFonts w:ascii="Verdana" w:eastAsia="Times New Roman" w:hAnsi="Verdana" w:cs="Times New Roman"/>
          <w:sz w:val="20"/>
          <w:szCs w:val="20"/>
          <w:lang w:eastAsia="es-ES"/>
        </w:rPr>
      </w:pPr>
      <w:proofErr w:type="spellStart"/>
      <w:r w:rsidRPr="00906BA7">
        <w:rPr>
          <w:rFonts w:ascii="Verdana" w:eastAsia="Times New Roman" w:hAnsi="Verdana" w:cs="Times New Roman"/>
          <w:sz w:val="20"/>
          <w:szCs w:val="20"/>
          <w:lang w:eastAsia="es-ES"/>
        </w:rPr>
        <w:t>Alaña</w:t>
      </w:r>
      <w:proofErr w:type="spellEnd"/>
      <w:r w:rsidRPr="00906BA7">
        <w:rPr>
          <w:rFonts w:ascii="Verdana" w:eastAsia="Times New Roman" w:hAnsi="Verdana" w:cs="Times New Roman"/>
          <w:sz w:val="20"/>
          <w:szCs w:val="20"/>
          <w:lang w:eastAsia="es-ES"/>
        </w:rPr>
        <w:t xml:space="preserve"> Castillo, T. P., Morán Molina, G. G., &amp; Sanmartín Ramón, G. S. (2017). La auditoría ambiental en las MIPYMES como herramienta de control interno en la gestión empresarial. Revista Universidad y Sociedad, 9(1), 143-147. </w:t>
      </w:r>
    </w:p>
    <w:p w14:paraId="4C046219" w14:textId="77777777" w:rsidR="00096D58" w:rsidRPr="00906BA7"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 xml:space="preserve">Eslava, J. (2013). La gestión del control de la empresa. </w:t>
      </w:r>
      <w:proofErr w:type="spellStart"/>
      <w:r w:rsidRPr="00906BA7">
        <w:rPr>
          <w:rFonts w:ascii="Verdana" w:hAnsi="Verdana" w:cs="Arial"/>
          <w:color w:val="222222"/>
          <w:sz w:val="20"/>
          <w:szCs w:val="20"/>
          <w:shd w:val="clear" w:color="auto" w:fill="FFFFFF"/>
        </w:rPr>
        <w:t>Esic</w:t>
      </w:r>
      <w:proofErr w:type="spellEnd"/>
      <w:r w:rsidRPr="00906BA7">
        <w:rPr>
          <w:rFonts w:ascii="Verdana" w:hAnsi="Verdana" w:cs="Arial"/>
          <w:color w:val="222222"/>
          <w:sz w:val="20"/>
          <w:szCs w:val="20"/>
          <w:shd w:val="clear" w:color="auto" w:fill="FFFFFF"/>
        </w:rPr>
        <w:t xml:space="preserve"> editorial.</w:t>
      </w:r>
    </w:p>
    <w:p w14:paraId="5F343159" w14:textId="32ABB93C" w:rsidR="00096D58"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García, M. B. L. (2005). El mercado de control empresarial ante el conflicto de agencia accionista-directivo. Información Comercial Española, ICE: Revista de economía, (823), 217-234.</w:t>
      </w:r>
    </w:p>
    <w:p w14:paraId="3CFE97FE" w14:textId="730FAA97" w:rsidR="005C42BE" w:rsidRDefault="005C42BE" w:rsidP="00096D58">
      <w:pPr>
        <w:spacing w:before="240" w:line="240" w:lineRule="auto"/>
        <w:ind w:left="567" w:hanging="567"/>
        <w:jc w:val="both"/>
        <w:rPr>
          <w:rFonts w:ascii="Verdana" w:hAnsi="Verdana" w:cs="Arial"/>
          <w:b/>
          <w:bCs/>
          <w:color w:val="222222"/>
          <w:sz w:val="20"/>
          <w:szCs w:val="20"/>
          <w:shd w:val="clear" w:color="auto" w:fill="FFFFFF"/>
        </w:rPr>
      </w:pPr>
      <w:r w:rsidRPr="005C42BE">
        <w:rPr>
          <w:rFonts w:ascii="Verdana" w:hAnsi="Verdana" w:cs="Arial"/>
          <w:b/>
          <w:bCs/>
          <w:color w:val="222222"/>
          <w:sz w:val="20"/>
          <w:szCs w:val="20"/>
          <w:shd w:val="clear" w:color="auto" w:fill="FFFFFF"/>
        </w:rPr>
        <w:t>DATOS DE LOS AUTORES:</w:t>
      </w:r>
    </w:p>
    <w:p w14:paraId="255F3582" w14:textId="23346B6F" w:rsidR="005C42BE" w:rsidRPr="005C42BE" w:rsidRDefault="005C42BE" w:rsidP="005C42BE">
      <w:pPr>
        <w:pStyle w:val="Sinespaciado"/>
        <w:numPr>
          <w:ilvl w:val="0"/>
          <w:numId w:val="9"/>
        </w:numPr>
        <w:spacing w:before="240" w:after="160"/>
        <w:ind w:left="284" w:hanging="284"/>
        <w:jc w:val="both"/>
        <w:rPr>
          <w:rFonts w:ascii="Verdana" w:hAnsi="Verdana"/>
          <w:sz w:val="20"/>
          <w:szCs w:val="20"/>
          <w:lang w:val="es-MX"/>
        </w:rPr>
      </w:pPr>
      <w:r w:rsidRPr="005C42BE">
        <w:rPr>
          <w:rFonts w:ascii="Verdana" w:hAnsi="Verdana"/>
          <w:b/>
          <w:bCs/>
          <w:sz w:val="20"/>
          <w:szCs w:val="20"/>
          <w:lang w:val="es-MX"/>
        </w:rPr>
        <w:t>Gerardo Antonio Márquez Rondón.</w:t>
      </w:r>
      <w:r w:rsidRPr="005C42BE">
        <w:rPr>
          <w:rFonts w:ascii="Verdana" w:hAnsi="Verdana"/>
          <w:sz w:val="20"/>
          <w:szCs w:val="20"/>
          <w:lang w:val="es-MX"/>
        </w:rPr>
        <w:t xml:space="preserve"> Doctor en Ciencias Administrativas. Profesor de la Universidad Católica de Temuco, Chile. E-mail: </w:t>
      </w:r>
      <w:hyperlink r:id="rId12" w:history="1">
        <w:r w:rsidRPr="005C42BE">
          <w:rPr>
            <w:rStyle w:val="Hipervnculo"/>
            <w:rFonts w:ascii="Verdana" w:hAnsi="Verdana"/>
            <w:sz w:val="20"/>
            <w:szCs w:val="20"/>
            <w:u w:val="none"/>
            <w:lang w:val="es-MX"/>
          </w:rPr>
          <w:t>gmarquez@uct.cl</w:t>
        </w:r>
      </w:hyperlink>
    </w:p>
    <w:p w14:paraId="3B1067C7" w14:textId="62544402" w:rsidR="005C42BE" w:rsidRPr="007918BB" w:rsidRDefault="005C42BE" w:rsidP="007918BB">
      <w:pPr>
        <w:pStyle w:val="Sinespaciado"/>
        <w:numPr>
          <w:ilvl w:val="0"/>
          <w:numId w:val="9"/>
        </w:numPr>
        <w:spacing w:before="240" w:after="160"/>
        <w:ind w:left="284" w:hanging="284"/>
        <w:jc w:val="both"/>
        <w:rPr>
          <w:rFonts w:ascii="Verdana" w:hAnsi="Verdana" w:cs="Arial"/>
          <w:b/>
          <w:bCs/>
          <w:color w:val="222222"/>
          <w:sz w:val="20"/>
          <w:szCs w:val="20"/>
          <w:shd w:val="clear" w:color="auto" w:fill="FFFFFF"/>
          <w:lang w:val="es-MX"/>
        </w:rPr>
      </w:pPr>
      <w:r w:rsidRPr="007918BB">
        <w:rPr>
          <w:rFonts w:ascii="Verdana" w:hAnsi="Verdana"/>
          <w:b/>
          <w:bCs/>
          <w:sz w:val="20"/>
          <w:szCs w:val="20"/>
          <w:lang w:val="es-MX"/>
        </w:rPr>
        <w:t>Juan Carlos Ramos Heredia.</w:t>
      </w:r>
      <w:r w:rsidRPr="007918BB">
        <w:rPr>
          <w:rFonts w:ascii="Verdana" w:hAnsi="Verdana"/>
          <w:sz w:val="20"/>
          <w:szCs w:val="20"/>
          <w:lang w:val="es-MX"/>
        </w:rPr>
        <w:t xml:space="preserve"> </w:t>
      </w:r>
      <w:r w:rsidRPr="007918BB">
        <w:rPr>
          <w:rFonts w:ascii="Verdana" w:hAnsi="Verdana"/>
          <w:sz w:val="20"/>
          <w:szCs w:val="20"/>
          <w:lang w:val="es-ES"/>
        </w:rPr>
        <w:t>Magíster en Administración de Empresas. Profesor de la Universidad Regional Autónoma de Los Andes</w:t>
      </w:r>
      <w:r w:rsidR="00B15614">
        <w:rPr>
          <w:rFonts w:ascii="Verdana" w:hAnsi="Verdana"/>
          <w:sz w:val="20"/>
          <w:szCs w:val="20"/>
          <w:lang w:val="es-ES"/>
        </w:rPr>
        <w:t xml:space="preserve">, Ecuador. </w:t>
      </w:r>
      <w:r w:rsidRPr="007918BB">
        <w:rPr>
          <w:rFonts w:ascii="Verdana" w:hAnsi="Verdana"/>
          <w:sz w:val="20"/>
          <w:szCs w:val="20"/>
          <w:lang w:val="es-ES"/>
        </w:rPr>
        <w:t xml:space="preserve">E-mail: </w:t>
      </w:r>
      <w:hyperlink r:id="rId13" w:history="1">
        <w:r w:rsidRPr="007918BB">
          <w:rPr>
            <w:rStyle w:val="Hipervnculo"/>
            <w:rFonts w:ascii="Verdana" w:hAnsi="Verdana"/>
            <w:sz w:val="20"/>
            <w:szCs w:val="20"/>
            <w:u w:val="none"/>
            <w:lang w:val="es-ES"/>
          </w:rPr>
          <w:t>juancarlos@uniandes.edu.ec</w:t>
        </w:r>
      </w:hyperlink>
    </w:p>
    <w:sectPr w:rsidR="005C42BE" w:rsidRPr="007918BB" w:rsidSect="00455523">
      <w:headerReference w:type="default" r:id="rId14"/>
      <w:footerReference w:type="default" r:id="rId15"/>
      <w:headerReference w:type="first" r:id="rId16"/>
      <w:footerReference w:type="first" r:id="rId17"/>
      <w:pgSz w:w="12242" w:h="15842" w:code="1"/>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D278" w14:textId="77777777" w:rsidR="00201428" w:rsidRDefault="00201428" w:rsidP="0032326C">
      <w:pPr>
        <w:spacing w:after="0" w:line="240" w:lineRule="auto"/>
      </w:pPr>
      <w:r>
        <w:separator/>
      </w:r>
    </w:p>
  </w:endnote>
  <w:endnote w:type="continuationSeparator" w:id="0">
    <w:p w14:paraId="765B6314" w14:textId="77777777" w:rsidR="00201428" w:rsidRDefault="00201428" w:rsidP="0032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96290"/>
      <w:docPartObj>
        <w:docPartGallery w:val="Page Numbers (Bottom of Page)"/>
        <w:docPartUnique/>
      </w:docPartObj>
    </w:sdtPr>
    <w:sdtEndPr>
      <w:rPr>
        <w:rFonts w:ascii="Verdana" w:hAnsi="Verdana"/>
        <w:sz w:val="20"/>
        <w:szCs w:val="20"/>
      </w:rPr>
    </w:sdtEndPr>
    <w:sdtContent>
      <w:p w14:paraId="1CD125D6" w14:textId="45D294D9" w:rsidR="0032326C" w:rsidRPr="0032326C" w:rsidRDefault="0032326C">
        <w:pPr>
          <w:pStyle w:val="Piedepgina"/>
          <w:jc w:val="right"/>
          <w:rPr>
            <w:rFonts w:ascii="Verdana" w:hAnsi="Verdana"/>
            <w:sz w:val="20"/>
            <w:szCs w:val="20"/>
          </w:rPr>
        </w:pPr>
        <w:r w:rsidRPr="0032326C">
          <w:rPr>
            <w:rFonts w:ascii="Verdana" w:hAnsi="Verdana"/>
            <w:sz w:val="20"/>
            <w:szCs w:val="20"/>
          </w:rPr>
          <w:fldChar w:fldCharType="begin"/>
        </w:r>
        <w:r w:rsidRPr="0032326C">
          <w:rPr>
            <w:rFonts w:ascii="Verdana" w:hAnsi="Verdana"/>
            <w:sz w:val="20"/>
            <w:szCs w:val="20"/>
          </w:rPr>
          <w:instrText>PAGE   \* MERGEFORMAT</w:instrText>
        </w:r>
        <w:r w:rsidRPr="0032326C">
          <w:rPr>
            <w:rFonts w:ascii="Verdana" w:hAnsi="Verdana"/>
            <w:sz w:val="20"/>
            <w:szCs w:val="20"/>
          </w:rPr>
          <w:fldChar w:fldCharType="separate"/>
        </w:r>
        <w:r w:rsidRPr="0032326C">
          <w:rPr>
            <w:rFonts w:ascii="Verdana" w:hAnsi="Verdana"/>
            <w:sz w:val="20"/>
            <w:szCs w:val="20"/>
          </w:rPr>
          <w:t>2</w:t>
        </w:r>
        <w:r w:rsidRPr="0032326C">
          <w:rPr>
            <w:rFonts w:ascii="Verdana" w:hAnsi="Verdana"/>
            <w:sz w:val="20"/>
            <w:szCs w:val="20"/>
          </w:rPr>
          <w:fldChar w:fldCharType="end"/>
        </w:r>
      </w:p>
    </w:sdtContent>
  </w:sdt>
  <w:p w14:paraId="350E93BD" w14:textId="77777777" w:rsidR="0032326C" w:rsidRDefault="003232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41274"/>
      <w:docPartObj>
        <w:docPartGallery w:val="Page Numbers (Bottom of Page)"/>
        <w:docPartUnique/>
      </w:docPartObj>
    </w:sdtPr>
    <w:sdtEndPr>
      <w:rPr>
        <w:rFonts w:ascii="Verdana" w:hAnsi="Verdana"/>
        <w:sz w:val="20"/>
        <w:szCs w:val="20"/>
      </w:rPr>
    </w:sdtEndPr>
    <w:sdtContent>
      <w:p w14:paraId="0486A5A3" w14:textId="6C701BD3" w:rsidR="00294AF7" w:rsidRPr="00294AF7" w:rsidRDefault="00294AF7">
        <w:pPr>
          <w:pStyle w:val="Piedepgina"/>
          <w:jc w:val="right"/>
          <w:rPr>
            <w:rFonts w:ascii="Verdana" w:hAnsi="Verdana"/>
            <w:sz w:val="20"/>
            <w:szCs w:val="20"/>
          </w:rPr>
        </w:pPr>
        <w:r w:rsidRPr="00294AF7">
          <w:rPr>
            <w:rFonts w:ascii="Verdana" w:hAnsi="Verdana"/>
            <w:sz w:val="20"/>
            <w:szCs w:val="20"/>
          </w:rPr>
          <w:fldChar w:fldCharType="begin"/>
        </w:r>
        <w:r w:rsidRPr="00294AF7">
          <w:rPr>
            <w:rFonts w:ascii="Verdana" w:hAnsi="Verdana"/>
            <w:sz w:val="20"/>
            <w:szCs w:val="20"/>
          </w:rPr>
          <w:instrText>PAGE   \* MERGEFORMAT</w:instrText>
        </w:r>
        <w:r w:rsidRPr="00294AF7">
          <w:rPr>
            <w:rFonts w:ascii="Verdana" w:hAnsi="Verdana"/>
            <w:sz w:val="20"/>
            <w:szCs w:val="20"/>
          </w:rPr>
          <w:fldChar w:fldCharType="separate"/>
        </w:r>
        <w:r w:rsidRPr="00294AF7">
          <w:rPr>
            <w:rFonts w:ascii="Verdana" w:hAnsi="Verdana"/>
            <w:sz w:val="20"/>
            <w:szCs w:val="20"/>
          </w:rPr>
          <w:t>2</w:t>
        </w:r>
        <w:r w:rsidRPr="00294AF7">
          <w:rPr>
            <w:rFonts w:ascii="Verdana" w:hAnsi="Verdana"/>
            <w:sz w:val="20"/>
            <w:szCs w:val="20"/>
          </w:rPr>
          <w:fldChar w:fldCharType="end"/>
        </w:r>
      </w:p>
    </w:sdtContent>
  </w:sdt>
  <w:p w14:paraId="7200B5DE" w14:textId="77777777" w:rsidR="00294AF7" w:rsidRDefault="00294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CD5F" w14:textId="77777777" w:rsidR="00201428" w:rsidRDefault="00201428" w:rsidP="0032326C">
      <w:pPr>
        <w:spacing w:after="0" w:line="240" w:lineRule="auto"/>
      </w:pPr>
      <w:r>
        <w:separator/>
      </w:r>
    </w:p>
  </w:footnote>
  <w:footnote w:type="continuationSeparator" w:id="0">
    <w:p w14:paraId="45DE3719" w14:textId="77777777" w:rsidR="00201428" w:rsidRDefault="00201428" w:rsidP="00323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367D" w14:textId="0BB2B6D1" w:rsidR="00455523" w:rsidRPr="00455523" w:rsidRDefault="00455523" w:rsidP="00455523">
    <w:pPr>
      <w:pStyle w:val="Encabezado"/>
      <w:jc w:val="right"/>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6FB5" w14:textId="0CDA2636" w:rsidR="00455523" w:rsidRPr="00E02C3F" w:rsidRDefault="00717B5A" w:rsidP="00455523">
    <w:pPr>
      <w:pStyle w:val="Encabezado"/>
      <w:jc w:val="right"/>
      <w:rPr>
        <w:rFonts w:ascii="Verdana" w:hAnsi="Verdana"/>
        <w:i/>
        <w:iCs/>
        <w:sz w:val="20"/>
        <w:szCs w:val="20"/>
        <w:lang w:val="es-US"/>
      </w:rPr>
    </w:pPr>
    <w:r w:rsidRPr="00E02C3F">
      <w:rPr>
        <w:rFonts w:ascii="Verdana" w:hAnsi="Verdana"/>
        <w:i/>
        <w:iCs/>
        <w:sz w:val="20"/>
        <w:szCs w:val="20"/>
        <w:lang w:val="es-US"/>
      </w:rPr>
      <w:t>Formato de p</w:t>
    </w:r>
    <w:r w:rsidR="00455523" w:rsidRPr="00E02C3F">
      <w:rPr>
        <w:rFonts w:ascii="Verdana" w:hAnsi="Verdana"/>
        <w:i/>
        <w:iCs/>
        <w:sz w:val="20"/>
        <w:szCs w:val="20"/>
        <w:lang w:val="es-US"/>
      </w:rPr>
      <w:t>onencia</w:t>
    </w:r>
    <w:r w:rsidR="0066290C" w:rsidRPr="00E02C3F">
      <w:rPr>
        <w:rFonts w:ascii="Verdana" w:hAnsi="Verdana"/>
        <w:i/>
        <w:iCs/>
        <w:sz w:val="20"/>
        <w:szCs w:val="20"/>
        <w:lang w:val="es-US"/>
      </w:rPr>
      <w:t xml:space="preserve">: </w:t>
    </w:r>
    <w:r w:rsidR="00455523" w:rsidRPr="00E02C3F">
      <w:rPr>
        <w:rFonts w:ascii="Verdana" w:hAnsi="Verdana"/>
        <w:i/>
        <w:iCs/>
        <w:sz w:val="20"/>
        <w:szCs w:val="20"/>
        <w:lang w:val="es-US"/>
      </w:rPr>
      <w:t xml:space="preserve"> V</w:t>
    </w:r>
    <w:r w:rsidR="003B3834">
      <w:rPr>
        <w:rFonts w:ascii="Verdana" w:hAnsi="Verdana"/>
        <w:i/>
        <w:iCs/>
        <w:sz w:val="20"/>
        <w:szCs w:val="20"/>
        <w:lang w:val="es-US"/>
      </w:rPr>
      <w:t>I</w:t>
    </w:r>
    <w:r w:rsidR="00455523" w:rsidRPr="00E02C3F">
      <w:rPr>
        <w:rFonts w:ascii="Verdana" w:hAnsi="Verdana"/>
        <w:i/>
        <w:iCs/>
        <w:sz w:val="20"/>
        <w:szCs w:val="20"/>
        <w:lang w:val="es-US"/>
      </w:rPr>
      <w:t xml:space="preserve"> Congreso</w:t>
    </w:r>
    <w:r w:rsidR="00501A03">
      <w:rPr>
        <w:rFonts w:ascii="Verdana" w:hAnsi="Verdana"/>
        <w:i/>
        <w:iCs/>
        <w:sz w:val="20"/>
        <w:szCs w:val="20"/>
        <w:lang w:val="es-US"/>
      </w:rPr>
      <w:t xml:space="preserve"> Internacional de Investigación e Innovación Universitaria y Simposio Estudiantil. ISSN 2631-2794</w:t>
    </w:r>
  </w:p>
  <w:p w14:paraId="4C80DE08" w14:textId="77777777" w:rsidR="00455523" w:rsidRPr="00455523" w:rsidRDefault="00455523">
    <w:pPr>
      <w:pStyle w:val="Encabezado"/>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C1E"/>
    <w:multiLevelType w:val="hybridMultilevel"/>
    <w:tmpl w:val="71B8F852"/>
    <w:lvl w:ilvl="0" w:tplc="22C8DDD4">
      <w:start w:val="1"/>
      <w:numFmt w:val="decimal"/>
      <w:lvlText w:val="%1."/>
      <w:lvlJc w:val="left"/>
      <w:pPr>
        <w:ind w:left="720" w:hanging="360"/>
      </w:pPr>
      <w:rPr>
        <w:b/>
        <w:bCs/>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BD4E62"/>
    <w:multiLevelType w:val="hybridMultilevel"/>
    <w:tmpl w:val="BCC20310"/>
    <w:lvl w:ilvl="0" w:tplc="EF98413E">
      <w:start w:val="1"/>
      <w:numFmt w:val="bullet"/>
      <w:lvlText w:val=""/>
      <w:lvlJc w:val="left"/>
      <w:pPr>
        <w:ind w:left="720" w:hanging="360"/>
      </w:pPr>
      <w:rPr>
        <w:rFonts w:ascii="Wingdings" w:hAnsi="Wingdings" w:hint="default"/>
        <w:b/>
        <w:bCs/>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F67D61"/>
    <w:multiLevelType w:val="hybridMultilevel"/>
    <w:tmpl w:val="7CEE48BA"/>
    <w:lvl w:ilvl="0" w:tplc="8CA29402">
      <w:numFmt w:val="bullet"/>
      <w:lvlText w:val="•"/>
      <w:lvlJc w:val="left"/>
      <w:pPr>
        <w:ind w:left="1080" w:hanging="360"/>
      </w:pPr>
      <w:rPr>
        <w:rFonts w:ascii="Verdana" w:eastAsia="Times New Roman" w:hAnsi="Verdana" w:cs="Segoe U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5F752C5"/>
    <w:multiLevelType w:val="hybridMultilevel"/>
    <w:tmpl w:val="1E7E2BE4"/>
    <w:lvl w:ilvl="0" w:tplc="E6D8A8B4">
      <w:numFmt w:val="bullet"/>
      <w:lvlText w:val="•"/>
      <w:lvlJc w:val="left"/>
      <w:pPr>
        <w:ind w:left="1080" w:hanging="360"/>
      </w:pPr>
      <w:rPr>
        <w:rFonts w:ascii="Verdana" w:eastAsia="Times New Roman" w:hAnsi="Verdana" w:cs="Segoe U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45F09E9"/>
    <w:multiLevelType w:val="hybridMultilevel"/>
    <w:tmpl w:val="99CA44B4"/>
    <w:lvl w:ilvl="0" w:tplc="2CF66842">
      <w:start w:val="1"/>
      <w:numFmt w:val="bullet"/>
      <w:lvlText w:val=""/>
      <w:lvlJc w:val="left"/>
      <w:pPr>
        <w:ind w:left="720" w:hanging="360"/>
      </w:pPr>
      <w:rPr>
        <w:rFonts w:ascii="Wingdings" w:hAnsi="Wingdings"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C5724"/>
    <w:multiLevelType w:val="hybridMultilevel"/>
    <w:tmpl w:val="949A4E3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0486A2F"/>
    <w:multiLevelType w:val="hybridMultilevel"/>
    <w:tmpl w:val="CC825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1E01D5"/>
    <w:multiLevelType w:val="hybridMultilevel"/>
    <w:tmpl w:val="F2568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22001C"/>
    <w:multiLevelType w:val="hybridMultilevel"/>
    <w:tmpl w:val="B3124D32"/>
    <w:lvl w:ilvl="0" w:tplc="E6D8A8B4">
      <w:numFmt w:val="bullet"/>
      <w:lvlText w:val="•"/>
      <w:lvlJc w:val="left"/>
      <w:pPr>
        <w:ind w:left="720" w:hanging="360"/>
      </w:pPr>
      <w:rPr>
        <w:rFonts w:ascii="Verdana" w:eastAsia="Times New Roman" w:hAnsi="Verdana"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5050105">
    <w:abstractNumId w:val="7"/>
  </w:num>
  <w:num w:numId="2" w16cid:durableId="1733775185">
    <w:abstractNumId w:val="6"/>
  </w:num>
  <w:num w:numId="3" w16cid:durableId="92559419">
    <w:abstractNumId w:val="8"/>
  </w:num>
  <w:num w:numId="4" w16cid:durableId="909147395">
    <w:abstractNumId w:val="3"/>
  </w:num>
  <w:num w:numId="5" w16cid:durableId="899096726">
    <w:abstractNumId w:val="2"/>
  </w:num>
  <w:num w:numId="6" w16cid:durableId="82262198">
    <w:abstractNumId w:val="1"/>
  </w:num>
  <w:num w:numId="7" w16cid:durableId="2062705717">
    <w:abstractNumId w:val="5"/>
  </w:num>
  <w:num w:numId="8" w16cid:durableId="1219438327">
    <w:abstractNumId w:val="4"/>
  </w:num>
  <w:num w:numId="9" w16cid:durableId="124113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36"/>
    <w:rsid w:val="00066BDF"/>
    <w:rsid w:val="00096D58"/>
    <w:rsid w:val="000A373C"/>
    <w:rsid w:val="000A3B33"/>
    <w:rsid w:val="000D43BA"/>
    <w:rsid w:val="000E139F"/>
    <w:rsid w:val="00152A13"/>
    <w:rsid w:val="00166D8A"/>
    <w:rsid w:val="001D3335"/>
    <w:rsid w:val="00201428"/>
    <w:rsid w:val="00221DDF"/>
    <w:rsid w:val="00294AF7"/>
    <w:rsid w:val="0029695C"/>
    <w:rsid w:val="0032326C"/>
    <w:rsid w:val="00341057"/>
    <w:rsid w:val="00376038"/>
    <w:rsid w:val="00397834"/>
    <w:rsid w:val="003B1FC9"/>
    <w:rsid w:val="003B3834"/>
    <w:rsid w:val="003C4157"/>
    <w:rsid w:val="003E3B33"/>
    <w:rsid w:val="003F3A8F"/>
    <w:rsid w:val="003F4B54"/>
    <w:rsid w:val="004269CB"/>
    <w:rsid w:val="00455523"/>
    <w:rsid w:val="004B4A87"/>
    <w:rsid w:val="004B6775"/>
    <w:rsid w:val="004D3E81"/>
    <w:rsid w:val="00501A03"/>
    <w:rsid w:val="00544353"/>
    <w:rsid w:val="005C42BE"/>
    <w:rsid w:val="005D0440"/>
    <w:rsid w:val="005F0C12"/>
    <w:rsid w:val="005F1183"/>
    <w:rsid w:val="00650BFE"/>
    <w:rsid w:val="0066290C"/>
    <w:rsid w:val="00670B32"/>
    <w:rsid w:val="00671A0C"/>
    <w:rsid w:val="00717B5A"/>
    <w:rsid w:val="00730236"/>
    <w:rsid w:val="007878F3"/>
    <w:rsid w:val="007918BB"/>
    <w:rsid w:val="007B45CB"/>
    <w:rsid w:val="007C49F3"/>
    <w:rsid w:val="008129E5"/>
    <w:rsid w:val="00822B8A"/>
    <w:rsid w:val="008347FC"/>
    <w:rsid w:val="00892F05"/>
    <w:rsid w:val="00995C26"/>
    <w:rsid w:val="009B1ABF"/>
    <w:rsid w:val="009C7452"/>
    <w:rsid w:val="009E59DA"/>
    <w:rsid w:val="00AC30CE"/>
    <w:rsid w:val="00AD45F1"/>
    <w:rsid w:val="00B15614"/>
    <w:rsid w:val="00B503AD"/>
    <w:rsid w:val="00B741C1"/>
    <w:rsid w:val="00BF113F"/>
    <w:rsid w:val="00CA3D17"/>
    <w:rsid w:val="00CB3C34"/>
    <w:rsid w:val="00CF240D"/>
    <w:rsid w:val="00CF3178"/>
    <w:rsid w:val="00CF6A02"/>
    <w:rsid w:val="00D73F10"/>
    <w:rsid w:val="00D76602"/>
    <w:rsid w:val="00E02C3F"/>
    <w:rsid w:val="00E53253"/>
    <w:rsid w:val="00E96FB1"/>
    <w:rsid w:val="00EA2DD6"/>
    <w:rsid w:val="00EB1D89"/>
    <w:rsid w:val="00F047C8"/>
    <w:rsid w:val="00F0713D"/>
    <w:rsid w:val="00F200F5"/>
    <w:rsid w:val="00F531A6"/>
    <w:rsid w:val="00F9010D"/>
    <w:rsid w:val="00FE2D47"/>
    <w:rsid w:val="00FE3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88F5C"/>
  <w15:chartTrackingRefBased/>
  <w15:docId w15:val="{F43E1713-A542-4D95-8747-1CFBA16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57"/>
  </w:style>
  <w:style w:type="paragraph" w:styleId="Ttulo2">
    <w:name w:val="heading 2"/>
    <w:basedOn w:val="Normal"/>
    <w:link w:val="Ttulo2Car"/>
    <w:uiPriority w:val="9"/>
    <w:qFormat/>
    <w:rsid w:val="007302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023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30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0236"/>
    <w:rPr>
      <w:b/>
      <w:bCs/>
    </w:rPr>
  </w:style>
  <w:style w:type="character" w:styleId="Hipervnculo">
    <w:name w:val="Hyperlink"/>
    <w:basedOn w:val="Fuentedeprrafopredeter"/>
    <w:uiPriority w:val="99"/>
    <w:unhideWhenUsed/>
    <w:rsid w:val="00730236"/>
    <w:rPr>
      <w:color w:val="0000FF"/>
      <w:u w:val="single"/>
    </w:rPr>
  </w:style>
  <w:style w:type="character" w:styleId="Mencinsinresolver">
    <w:name w:val="Unresolved Mention"/>
    <w:basedOn w:val="Fuentedeprrafopredeter"/>
    <w:uiPriority w:val="99"/>
    <w:semiHidden/>
    <w:unhideWhenUsed/>
    <w:rsid w:val="00730236"/>
    <w:rPr>
      <w:color w:val="605E5C"/>
      <w:shd w:val="clear" w:color="auto" w:fill="E1DFDD"/>
    </w:rPr>
  </w:style>
  <w:style w:type="paragraph" w:styleId="Prrafodelista">
    <w:name w:val="List Paragraph"/>
    <w:basedOn w:val="Normal"/>
    <w:uiPriority w:val="34"/>
    <w:qFormat/>
    <w:rsid w:val="00730236"/>
    <w:pPr>
      <w:ind w:left="720"/>
      <w:contextualSpacing/>
    </w:pPr>
  </w:style>
  <w:style w:type="paragraph" w:styleId="Encabezado">
    <w:name w:val="header"/>
    <w:basedOn w:val="Normal"/>
    <w:link w:val="EncabezadoCar"/>
    <w:uiPriority w:val="99"/>
    <w:unhideWhenUsed/>
    <w:rsid w:val="003232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26C"/>
  </w:style>
  <w:style w:type="paragraph" w:styleId="Piedepgina">
    <w:name w:val="footer"/>
    <w:basedOn w:val="Normal"/>
    <w:link w:val="PiedepginaCar"/>
    <w:uiPriority w:val="99"/>
    <w:unhideWhenUsed/>
    <w:rsid w:val="003232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26C"/>
  </w:style>
  <w:style w:type="paragraph" w:customStyle="1" w:styleId="CVPALABRASCLAVE">
    <w:name w:val="CV_PALABRAS_CLAVE"/>
    <w:basedOn w:val="Normal"/>
    <w:rsid w:val="0032326C"/>
    <w:pPr>
      <w:suppressAutoHyphens/>
      <w:spacing w:before="120" w:after="240" w:line="240" w:lineRule="auto"/>
      <w:jc w:val="both"/>
    </w:pPr>
    <w:rPr>
      <w:rFonts w:ascii="Times New Roman" w:eastAsia="Times New Roman" w:hAnsi="Times New Roman" w:cs="Arial"/>
      <w:bCs/>
      <w:i/>
      <w:kern w:val="28"/>
      <w:sz w:val="20"/>
      <w:szCs w:val="20"/>
      <w:lang w:eastAsia="es-ES"/>
    </w:rPr>
  </w:style>
  <w:style w:type="paragraph" w:customStyle="1" w:styleId="CVTEXTORESUMEN">
    <w:name w:val="CV_TEXTO_RESUMEN"/>
    <w:basedOn w:val="Normal"/>
    <w:rsid w:val="0032326C"/>
    <w:pPr>
      <w:suppressAutoHyphens/>
      <w:spacing w:before="120" w:after="120" w:line="240" w:lineRule="auto"/>
      <w:ind w:firstLine="284"/>
      <w:jc w:val="both"/>
    </w:pPr>
    <w:rPr>
      <w:rFonts w:ascii="Times New Roman" w:eastAsia="Times New Roman" w:hAnsi="Times New Roman" w:cs="Arial"/>
      <w:bCs/>
      <w:i/>
      <w:kern w:val="28"/>
      <w:sz w:val="20"/>
      <w:szCs w:val="24"/>
      <w:lang w:eastAsia="es-ES"/>
    </w:rPr>
  </w:style>
  <w:style w:type="paragraph" w:styleId="Sinespaciado">
    <w:name w:val="No Spacing"/>
    <w:uiPriority w:val="1"/>
    <w:qFormat/>
    <w:rsid w:val="00096D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9064">
      <w:bodyDiv w:val="1"/>
      <w:marLeft w:val="0"/>
      <w:marRight w:val="0"/>
      <w:marTop w:val="0"/>
      <w:marBottom w:val="0"/>
      <w:divBdr>
        <w:top w:val="none" w:sz="0" w:space="0" w:color="auto"/>
        <w:left w:val="none" w:sz="0" w:space="0" w:color="auto"/>
        <w:bottom w:val="none" w:sz="0" w:space="0" w:color="auto"/>
        <w:right w:val="none" w:sz="0" w:space="0" w:color="auto"/>
      </w:divBdr>
    </w:div>
    <w:div w:id="1574927795">
      <w:bodyDiv w:val="1"/>
      <w:marLeft w:val="0"/>
      <w:marRight w:val="0"/>
      <w:marTop w:val="0"/>
      <w:marBottom w:val="0"/>
      <w:divBdr>
        <w:top w:val="none" w:sz="0" w:space="0" w:color="auto"/>
        <w:left w:val="none" w:sz="0" w:space="0" w:color="auto"/>
        <w:bottom w:val="none" w:sz="0" w:space="0" w:color="auto"/>
        <w:right w:val="none" w:sz="0" w:space="0" w:color="auto"/>
      </w:divBdr>
    </w:div>
    <w:div w:id="20901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84-6408" TargetMode="External"/><Relationship Id="rId13" Type="http://schemas.openxmlformats.org/officeDocument/2006/relationships/hyperlink" Target="mailto:juancarlos@uniandes.edu.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rquez@uct.cl" TargetMode="External"/><Relationship Id="rId12" Type="http://schemas.openxmlformats.org/officeDocument/2006/relationships/hyperlink" Target="mailto:gmarquez@uct.c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2-6584-78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ancarlos@uniandes.edu.ec"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r>
              <a:rPr lang="es-ES"/>
              <a:t>¿Conoce qué es el Tecnoestrés?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3AD-4EE8-8288-041A120291B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3AD-4EE8-8288-041A120291B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Verdana" panose="020B0604030504040204" pitchFamily="34" charset="0"/>
                    <a:ea typeface="Verdana" panose="020B0604030504040204" pitchFamily="34" charset="0"/>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Hoja4!$A$2:$A$3</c:f>
              <c:strCache>
                <c:ptCount val="2"/>
                <c:pt idx="0">
                  <c:v>Si</c:v>
                </c:pt>
                <c:pt idx="1">
                  <c:v>No</c:v>
                </c:pt>
              </c:strCache>
            </c:strRef>
          </c:cat>
          <c:val>
            <c:numRef>
              <c:f>Hoja4!$B$2:$B$3</c:f>
              <c:numCache>
                <c:formatCode>General</c:formatCode>
                <c:ptCount val="2"/>
                <c:pt idx="0">
                  <c:v>27</c:v>
                </c:pt>
                <c:pt idx="1">
                  <c:v>26</c:v>
                </c:pt>
              </c:numCache>
            </c:numRef>
          </c:val>
          <c:extLst>
            <c:ext xmlns:c16="http://schemas.microsoft.com/office/drawing/2014/chart" uri="{C3380CC4-5D6E-409C-BE32-E72D297353CC}">
              <c16:uniqueId val="{00000004-73AD-4EE8-8288-041A120291B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latin typeface="Verdana" panose="020B0604030504040204" pitchFamily="34" charset="0"/>
          <a:ea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A55CE4-D51D-4EA4-9F43-A0EC5D0D2B33}">
  <we:reference id="wa104381727" version="1.0.0.7" store="en-001" storeType="OMEX"/>
  <we:alternateReferences>
    <we:reference id="WA104381727" version="1.0.0.7"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190</TotalTime>
  <Pages>4</Pages>
  <Words>1418</Words>
  <Characters>8085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Cambio vasmarti</cp:lastModifiedBy>
  <cp:revision>65</cp:revision>
  <dcterms:created xsi:type="dcterms:W3CDTF">2021-02-10T15:05:00Z</dcterms:created>
  <dcterms:modified xsi:type="dcterms:W3CDTF">2023-02-27T15:18:00Z</dcterms:modified>
</cp:coreProperties>
</file>